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5103560" w:edGrp="everyone"/>
      <w:permEnd w:id="15103560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N.</w:t>
      </w:r>
      <w:r w:rsidRPr="00631528">
        <w:rPr>
          <w:rFonts w:ascii="Rawline" w:hAnsi="Rawline" w:cs="Microsoft Sans Serif"/>
          <w:sz w:val="20"/>
          <w:lang w:val="pt-PT"/>
        </w:rPr>
        <w:t xml:space="preserve">º 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="00631528" w:rsidRPr="00631528">
        <w:rPr>
          <w:rFonts w:ascii="Rawline" w:hAnsi="Rawline" w:cs="Microsoft Sans Serif"/>
          <w:sz w:val="20"/>
          <w:lang w:val="pt-PT"/>
        </w:rPr>
        <w:t>91</w:t>
      </w:r>
      <w:r w:rsidRPr="00631528">
        <w:rPr>
          <w:rFonts w:ascii="Rawline" w:hAnsi="Rawline" w:cs="Microsoft Sans Serif"/>
          <w:sz w:val="20"/>
          <w:lang w:val="pt-PT"/>
        </w:rPr>
        <w:t>/202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96230C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96230C">
        <w:rPr>
          <w:rFonts w:ascii="Rawline" w:hAnsi="Rawline" w:cs="Microsoft Sans Serif"/>
          <w:b/>
          <w:caps/>
          <w:sz w:val="20"/>
          <w:szCs w:val="18"/>
          <w:lang w:val="pt-PT"/>
        </w:rPr>
        <w:t>Serviços de manutenção preventiva para diversos equipamentos do biotério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1378429542" w:edGrp="everyone"/>
      <w:permEnd w:id="1378429542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C7487A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1D28E0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1D28E0" w:rsidRPr="001D28E0">
        <w:rPr>
          <w:rFonts w:ascii="Rawline" w:hAnsi="Rawline" w:cs="Microsoft Sans Serif"/>
          <w:color w:val="002060"/>
          <w:sz w:val="20"/>
          <w:szCs w:val="20"/>
          <w:lang w:val="pt-PT"/>
        </w:rPr>
        <w:t>91</w:t>
      </w:r>
      <w:r w:rsidR="0094712A" w:rsidRPr="001D28E0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1D28E0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1D28E0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1D28E0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1D28E0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E69F9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FE69F9" w:rsidRPr="00FE69F9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  <w:bookmarkStart w:id="1" w:name="_GoBack"/>
      <w:bookmarkEnd w:id="1"/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2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2"/>
      <w:r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FD0264"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91</w:t>
      </w:r>
      <w:r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FD02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FD0264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FD0264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</w:t>
      </w:r>
      <w:r w:rsidRPr="008B66A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de Serviços </w:t>
      </w:r>
      <w:r w:rsidRPr="008B66AD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Pr="008B66AD">
        <w:rPr>
          <w:rFonts w:ascii="Rawline" w:hAnsi="Rawline" w:cs="Microsoft Sans Serif"/>
          <w:sz w:val="20"/>
          <w:lang w:val="pt-PT"/>
        </w:rPr>
        <w:t xml:space="preserve"> 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110"/>
        <w:gridCol w:w="2028"/>
        <w:gridCol w:w="1960"/>
        <w:gridCol w:w="1513"/>
      </w:tblGrid>
      <w:tr w:rsidR="00DC2869" w:rsidRPr="00DC2869" w:rsidTr="00733FC3">
        <w:trPr>
          <w:trHeight w:val="574"/>
        </w:trPr>
        <w:tc>
          <w:tcPr>
            <w:tcW w:w="3110" w:type="dxa"/>
            <w:shd w:val="clear" w:color="auto" w:fill="8DB3E2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DC2869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Tipo Equipamento</w:t>
            </w:r>
          </w:p>
        </w:tc>
        <w:tc>
          <w:tcPr>
            <w:tcW w:w="2028" w:type="dxa"/>
            <w:shd w:val="clear" w:color="auto" w:fill="8DB3E2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DC2869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Nº Equipamento</w:t>
            </w:r>
          </w:p>
        </w:tc>
        <w:tc>
          <w:tcPr>
            <w:tcW w:w="1960" w:type="dxa"/>
            <w:shd w:val="clear" w:color="auto" w:fill="8DB3E2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DC2869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Nº de série</w:t>
            </w:r>
          </w:p>
        </w:tc>
        <w:tc>
          <w:tcPr>
            <w:tcW w:w="1513" w:type="dxa"/>
            <w:shd w:val="clear" w:color="auto" w:fill="8DB3E2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DC2869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Preço Unitário</w:t>
            </w:r>
          </w:p>
        </w:tc>
      </w:tr>
      <w:tr w:rsidR="00DC2869" w:rsidRPr="00DC2869" w:rsidTr="00733FC3">
        <w:trPr>
          <w:trHeight w:val="227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132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PT014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281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E033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297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1001046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31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428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1100170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564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15000256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565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15000351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566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15000254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567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15000257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575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15001932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31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Câmara de Despejo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150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2671206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Máquina de Lavar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557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651412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711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Câmara de Enchimento de Gaiolas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569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321248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595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Sistema de Enchimento de Biberões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576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511176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43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Descapsulador Mágic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736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na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DC2869" w:rsidRPr="00DC2869" w:rsidTr="00733FC3">
        <w:trPr>
          <w:trHeight w:val="331"/>
        </w:trPr>
        <w:tc>
          <w:tcPr>
            <w:tcW w:w="311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Cage Washer (2ª mão)</w:t>
            </w:r>
          </w:p>
        </w:tc>
        <w:tc>
          <w:tcPr>
            <w:tcW w:w="2028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137</w:t>
            </w:r>
          </w:p>
        </w:tc>
        <w:tc>
          <w:tcPr>
            <w:tcW w:w="1960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DC2869">
              <w:rPr>
                <w:rFonts w:ascii="Rawline" w:hAnsi="Rawline" w:cs="Microsoft Sans Serif"/>
                <w:sz w:val="16"/>
                <w:szCs w:val="16"/>
                <w:lang w:val="pt-PT"/>
              </w:rPr>
              <w:t>601144</w:t>
            </w:r>
          </w:p>
        </w:tc>
        <w:tc>
          <w:tcPr>
            <w:tcW w:w="1513" w:type="dxa"/>
            <w:vAlign w:val="center"/>
          </w:tcPr>
          <w:p w:rsidR="00DC2869" w:rsidRPr="00DC2869" w:rsidRDefault="00DC2869" w:rsidP="00DC2869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</w:tbl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lastRenderedPageBreak/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FC0E81">
        <w:rPr>
          <w:rFonts w:ascii="Rawline" w:hAnsi="Rawline" w:cs="Microsoft Sans Serif"/>
          <w:i/>
          <w:color w:val="002060"/>
          <w:sz w:val="20"/>
          <w:lang w:val="pt-PT"/>
        </w:rPr>
        <w:t xml:space="preserve"> e 12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3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FD0264"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91</w:t>
      </w:r>
      <w:r w:rsidR="000314AE"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FD0264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FD02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FD0264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53748" w:rsidRPr="00FE69F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453748" w:rsidRPr="00FE69F9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Pr="00FD0264">
        <w:rPr>
          <w:rFonts w:ascii="Rawline" w:hAnsi="Rawline" w:cs="Microsoft Sans Serif"/>
          <w:color w:val="002060"/>
          <w:sz w:val="20"/>
          <w:szCs w:val="20"/>
        </w:rPr>
        <w:t>3</w:t>
      </w:r>
      <w:r w:rsidR="00FD0264" w:rsidRPr="00FD0264">
        <w:rPr>
          <w:rFonts w:ascii="Rawline" w:hAnsi="Rawline" w:cs="Microsoft Sans Serif"/>
          <w:color w:val="002060"/>
          <w:sz w:val="20"/>
          <w:szCs w:val="20"/>
        </w:rPr>
        <w:t>91</w:t>
      </w:r>
      <w:r w:rsidRPr="00FD0264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FD0264">
        <w:rPr>
          <w:rFonts w:ascii="Rawline" w:hAnsi="Rawline" w:cs="Microsoft Sans Serif"/>
          <w:color w:val="002060"/>
          <w:sz w:val="20"/>
          <w:szCs w:val="20"/>
        </w:rPr>
        <w:t>3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453748" w:rsidRPr="00FE69F9">
        <w:rPr>
          <w:rFonts w:ascii="Rawline" w:hAnsi="Rawline" w:cs="Microsoft Sans Serif"/>
          <w:bCs/>
          <w:i/>
          <w:color w:val="002060"/>
          <w:sz w:val="20"/>
        </w:rPr>
        <w:t xml:space="preserve">Aquisição de Serviços </w:t>
      </w:r>
      <w:r w:rsidR="00453748" w:rsidRPr="00FE69F9">
        <w:rPr>
          <w:rFonts w:ascii="Rawline" w:hAnsi="Rawline" w:cs="Microsoft Sans Serif"/>
          <w:i/>
          <w:color w:val="002060"/>
          <w:sz w:val="20"/>
        </w:rPr>
        <w:t>de Manutenção Preventiva para Diversos Equipamentos do Biotério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5BBF80F9-826D-42C1-B200-E1CA77AFE397}"/>
    <w:embedBold r:id="rId2" w:fontKey="{0BE7C05B-8DFA-4C52-B792-1103E65B0A1D}"/>
    <w:embedItalic r:id="rId3" w:fontKey="{79D00D31-657B-47C3-9C4C-97255163E5D7}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599EA42A-8E31-469F-9E8D-3699005FB6D2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E4FC93D5-AED1-4939-8E78-AEAE6DCB1BAB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854908">
      <w:rPr>
        <w:rStyle w:val="PageNumber"/>
        <w:rFonts w:ascii="Rawline" w:hAnsi="Rawline" w:cs="Microsoft Sans Serif"/>
        <w:noProof/>
        <w:color w:val="002060"/>
        <w:sz w:val="14"/>
        <w:szCs w:val="14"/>
      </w:rPr>
      <w:t>4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854908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8549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854908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BF14DC" w:rsidRPr="0063152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631528" w:rsidRPr="00631528">
      <w:rPr>
        <w:rFonts w:ascii="Rawline" w:hAnsi="Rawline" w:cs="Microsoft Sans Serif"/>
        <w:color w:val="002060"/>
        <w:sz w:val="20"/>
        <w:szCs w:val="20"/>
        <w:lang w:val="pt-PT"/>
      </w:rPr>
      <w:t>91</w:t>
    </w:r>
    <w:r w:rsidR="009253F2" w:rsidRPr="0063152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63152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631528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85490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5LIPtboRxCHBlmm3CmsIO0i3/OCNnNmFYLw8G7VJ1iSs7/tw1lVFXGqE4o66CRkMJzbA9hTkfOZqQ61HQbvP/w==" w:salt="7mAgBGRgQDiV3OJG+hoBWg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D5E44"/>
    <w:rsid w:val="008D6C90"/>
    <w:rsid w:val="008E08E3"/>
    <w:rsid w:val="008F5456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FE72-ED92-4677-BC3C-891D1609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7</Pages>
  <Words>1488</Words>
  <Characters>8259</Characters>
  <Application>Microsoft Office Word</Application>
  <DocSecurity>8</DocSecurity>
  <Lines>172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9656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267</cp:revision>
  <cp:lastPrinted>2010-12-13T14:39:00Z</cp:lastPrinted>
  <dcterms:created xsi:type="dcterms:W3CDTF">2011-08-26T13:38:00Z</dcterms:created>
  <dcterms:modified xsi:type="dcterms:W3CDTF">2023-02-15T09:35:00Z</dcterms:modified>
</cp:coreProperties>
</file>